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B6222" w14:textId="77777777" w:rsidR="00D83977" w:rsidRPr="00D83977" w:rsidRDefault="00D83977" w:rsidP="00D83977">
      <w:r w:rsidRPr="00D83977">
        <w:t>To</w:t>
      </w:r>
      <w:r w:rsidRPr="00D83977">
        <w:br/>
        <w:t>The IFRS Interpretations Committee</w:t>
      </w:r>
      <w:r w:rsidRPr="00D83977">
        <w:br/>
        <w:t>IFRS Foundation</w:t>
      </w:r>
    </w:p>
    <w:p w14:paraId="4C007869" w14:textId="77777777" w:rsidR="00D83977" w:rsidRPr="00D83977" w:rsidRDefault="00D83977" w:rsidP="00D83977">
      <w:r w:rsidRPr="00D83977">
        <w:rPr>
          <w:b/>
          <w:bCs/>
        </w:rPr>
        <w:t>Subject:</w:t>
      </w:r>
      <w:r w:rsidRPr="00D83977">
        <w:t xml:space="preserve"> Comments on Tentative Agenda Decision – Presentation of Taxes or Other Charges that are Not Income Taxes within the Scope of IAS 12 (IFRS 18)</w:t>
      </w:r>
    </w:p>
    <w:p w14:paraId="4918279D" w14:textId="77777777" w:rsidR="00D83977" w:rsidRPr="00D83977" w:rsidRDefault="00D83977" w:rsidP="00D83977">
      <w:r w:rsidRPr="00D83977">
        <w:t>Dear Sir/Madam,</w:t>
      </w:r>
    </w:p>
    <w:p w14:paraId="3EB49936" w14:textId="77777777" w:rsidR="00D83977" w:rsidRPr="00D83977" w:rsidRDefault="00D83977" w:rsidP="00D83977">
      <w:r w:rsidRPr="00D83977">
        <w:t xml:space="preserve">We appreciate the opportunity to comment on the Tentative Agenda Decision (TAD) issued by the IFRS Interpretations Committee regarding the presentation, under </w:t>
      </w:r>
      <w:r w:rsidRPr="00D83977">
        <w:rPr>
          <w:b/>
          <w:bCs/>
        </w:rPr>
        <w:t>IFRS 18</w:t>
      </w:r>
      <w:r w:rsidRPr="00D83977">
        <w:t xml:space="preserve">, of taxes or other charges that are </w:t>
      </w:r>
      <w:r w:rsidRPr="00D83977">
        <w:rPr>
          <w:b/>
          <w:bCs/>
        </w:rPr>
        <w:t>not income taxes within the scope of IAS 12</w:t>
      </w:r>
      <w:r w:rsidRPr="00D83977">
        <w:t>.</w:t>
      </w:r>
    </w:p>
    <w:p w14:paraId="31668B07" w14:textId="77777777" w:rsidR="00D83977" w:rsidRPr="00D83977" w:rsidRDefault="00D83977" w:rsidP="00D83977">
      <w:r w:rsidRPr="00D83977">
        <w:t>We provide our detailed and comparative observations below.</w:t>
      </w:r>
    </w:p>
    <w:p w14:paraId="45F06049" w14:textId="77777777" w:rsidR="00D83977" w:rsidRPr="00D83977" w:rsidRDefault="00F62227" w:rsidP="00D83977">
      <w:r>
        <w:pict w14:anchorId="1E0E5536">
          <v:rect id="_x0000_i1025" style="width:0;height:1.5pt" o:hralign="center" o:hrstd="t" o:hr="t" fillcolor="#a0a0a0" stroked="f"/>
        </w:pict>
      </w:r>
    </w:p>
    <w:p w14:paraId="31AABB12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1. Overall Agreement with the Committee’s Conclusion</w:t>
      </w:r>
    </w:p>
    <w:p w14:paraId="7DD76040" w14:textId="77777777" w:rsidR="00D83977" w:rsidRPr="00D83977" w:rsidRDefault="00D83977" w:rsidP="00D83977">
      <w:r w:rsidRPr="00D83977">
        <w:t xml:space="preserve">We agree with the Committee’s conclusion that, applying IFRS 18, an entity is </w:t>
      </w:r>
      <w:r w:rsidRPr="00D83977">
        <w:rPr>
          <w:b/>
          <w:bCs/>
        </w:rPr>
        <w:t>not permitted</w:t>
      </w:r>
      <w:r w:rsidRPr="00D83977">
        <w:t xml:space="preserve"> to present taxes or other charges that fall outside the scope of IAS 12:</w:t>
      </w:r>
    </w:p>
    <w:p w14:paraId="4A9478BA" w14:textId="77777777" w:rsidR="00D83977" w:rsidRPr="00D83977" w:rsidRDefault="00D83977" w:rsidP="00D83977">
      <w:pPr>
        <w:numPr>
          <w:ilvl w:val="0"/>
          <w:numId w:val="1"/>
        </w:numPr>
      </w:pPr>
      <w:r w:rsidRPr="00D83977">
        <w:t xml:space="preserve">within the </w:t>
      </w:r>
      <w:r w:rsidRPr="00D83977">
        <w:rPr>
          <w:b/>
          <w:bCs/>
        </w:rPr>
        <w:t>‘income tax expense or income’ line item</w:t>
      </w:r>
      <w:r w:rsidRPr="00D83977">
        <w:t xml:space="preserve"> required by paragraph 75(a)(iv) of IFRS 18; nor</w:t>
      </w:r>
    </w:p>
    <w:p w14:paraId="3CE84C9D" w14:textId="77777777" w:rsidR="00D83977" w:rsidRPr="00D83977" w:rsidRDefault="00D83977" w:rsidP="00D83977">
      <w:pPr>
        <w:numPr>
          <w:ilvl w:val="0"/>
          <w:numId w:val="1"/>
        </w:numPr>
      </w:pPr>
      <w:r w:rsidRPr="00D83977">
        <w:t xml:space="preserve">within the </w:t>
      </w:r>
      <w:r w:rsidRPr="00D83977">
        <w:rPr>
          <w:b/>
          <w:bCs/>
        </w:rPr>
        <w:t>income taxes category</w:t>
      </w:r>
      <w:r w:rsidRPr="00D83977">
        <w:t xml:space="preserve"> of the statement of profit or loss.</w:t>
      </w:r>
    </w:p>
    <w:p w14:paraId="36D00318" w14:textId="77777777" w:rsidR="00D83977" w:rsidRPr="00D83977" w:rsidRDefault="00D83977" w:rsidP="00D83977">
      <w:r w:rsidRPr="00D83977">
        <w:t xml:space="preserve">This conclusion appropriately reflects the </w:t>
      </w:r>
      <w:r w:rsidRPr="00D83977">
        <w:rPr>
          <w:b/>
          <w:bCs/>
        </w:rPr>
        <w:t>clear linkage established by IFRS 18 between the income taxes category and IAS 12</w:t>
      </w:r>
      <w:r w:rsidRPr="00D83977">
        <w:t>.</w:t>
      </w:r>
    </w:p>
    <w:p w14:paraId="65138450" w14:textId="77777777" w:rsidR="00D83977" w:rsidRPr="00D83977" w:rsidRDefault="00F62227" w:rsidP="00D83977">
      <w:r>
        <w:pict w14:anchorId="26E7C9FE">
          <v:rect id="_x0000_i1026" style="width:0;height:1.5pt" o:hralign="center" o:hrstd="t" o:hr="t" fillcolor="#a0a0a0" stroked="f"/>
        </w:pict>
      </w:r>
    </w:p>
    <w:p w14:paraId="38C7CDAD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2. Comparative Analysis: IFRS 18 vs Pre-IFRS 18 Practice</w:t>
      </w:r>
    </w:p>
    <w:p w14:paraId="642A2CCE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(a) Pre-IFRS 18 Diversity in Practice</w:t>
      </w:r>
    </w:p>
    <w:p w14:paraId="4105B533" w14:textId="77777777" w:rsidR="00D83977" w:rsidRPr="00D83977" w:rsidRDefault="00D83977" w:rsidP="00D83977">
      <w:r w:rsidRPr="00D83977">
        <w:t>Under IAS 1, entities often presented:</w:t>
      </w:r>
    </w:p>
    <w:p w14:paraId="1305419E" w14:textId="77777777" w:rsidR="00D83977" w:rsidRPr="00D83977" w:rsidRDefault="00D83977" w:rsidP="00D83977">
      <w:pPr>
        <w:numPr>
          <w:ilvl w:val="0"/>
          <w:numId w:val="2"/>
        </w:numPr>
      </w:pPr>
      <w:r w:rsidRPr="00D83977">
        <w:t>withholding taxes,</w:t>
      </w:r>
    </w:p>
    <w:p w14:paraId="4BB306F1" w14:textId="77777777" w:rsidR="00D83977" w:rsidRPr="00D83977" w:rsidRDefault="00D83977" w:rsidP="00D83977">
      <w:pPr>
        <w:numPr>
          <w:ilvl w:val="0"/>
          <w:numId w:val="2"/>
        </w:numPr>
      </w:pPr>
      <w:r w:rsidRPr="00D83977">
        <w:t>minimum alternate taxes not assessed on profit,</w:t>
      </w:r>
    </w:p>
    <w:p w14:paraId="2E1E1C66" w14:textId="77777777" w:rsidR="00D83977" w:rsidRPr="00D83977" w:rsidRDefault="00D83977" w:rsidP="00D83977">
      <w:pPr>
        <w:numPr>
          <w:ilvl w:val="0"/>
          <w:numId w:val="2"/>
        </w:numPr>
      </w:pPr>
      <w:r w:rsidRPr="00D83977">
        <w:t>sector-specific levies, or</w:t>
      </w:r>
    </w:p>
    <w:p w14:paraId="54344E85" w14:textId="77777777" w:rsidR="00D83977" w:rsidRPr="00D83977" w:rsidRDefault="00D83977" w:rsidP="00D83977">
      <w:pPr>
        <w:numPr>
          <w:ilvl w:val="0"/>
          <w:numId w:val="2"/>
        </w:numPr>
      </w:pPr>
      <w:r w:rsidRPr="00D83977">
        <w:t>turnover-based taxes</w:t>
      </w:r>
    </w:p>
    <w:p w14:paraId="75B51982" w14:textId="77777777" w:rsidR="00D83977" w:rsidRPr="00D83977" w:rsidRDefault="00D83977" w:rsidP="00D83977">
      <w:r w:rsidRPr="00D83977">
        <w:t>either:</w:t>
      </w:r>
    </w:p>
    <w:p w14:paraId="3FA07E39" w14:textId="77777777" w:rsidR="00D83977" w:rsidRPr="00D83977" w:rsidRDefault="00D83977" w:rsidP="00D83977">
      <w:pPr>
        <w:numPr>
          <w:ilvl w:val="0"/>
          <w:numId w:val="3"/>
        </w:numPr>
      </w:pPr>
      <w:r w:rsidRPr="00D83977">
        <w:t>within income tax expense, or</w:t>
      </w:r>
    </w:p>
    <w:p w14:paraId="0B171D10" w14:textId="77777777" w:rsidR="00D83977" w:rsidRPr="00D83977" w:rsidRDefault="00D83977" w:rsidP="00D83977">
      <w:pPr>
        <w:numPr>
          <w:ilvl w:val="0"/>
          <w:numId w:val="3"/>
        </w:numPr>
      </w:pPr>
      <w:r w:rsidRPr="00D83977">
        <w:t>netted against income taxes,</w:t>
      </w:r>
    </w:p>
    <w:p w14:paraId="10C2A5D0" w14:textId="77777777" w:rsidR="00D83977" w:rsidRPr="00D83977" w:rsidRDefault="00D83977" w:rsidP="00D83977">
      <w:r w:rsidRPr="00D83977">
        <w:t xml:space="preserve">based on judgement and local practice, resulting in </w:t>
      </w:r>
      <w:r w:rsidRPr="00D83977">
        <w:rPr>
          <w:b/>
          <w:bCs/>
        </w:rPr>
        <w:t>significant diversity</w:t>
      </w:r>
      <w:r w:rsidRPr="00D83977">
        <w:t>.</w:t>
      </w:r>
    </w:p>
    <w:p w14:paraId="165FDC7B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(b) IFRS 18’s Structural Discipline</w:t>
      </w:r>
    </w:p>
    <w:p w14:paraId="769A0BD5" w14:textId="77777777" w:rsidR="00D83977" w:rsidRPr="00D83977" w:rsidRDefault="00D83977" w:rsidP="00D83977">
      <w:r w:rsidRPr="00D83977">
        <w:t xml:space="preserve">IFRS 18 introduces a </w:t>
      </w:r>
      <w:r w:rsidRPr="00D83977">
        <w:rPr>
          <w:b/>
          <w:bCs/>
        </w:rPr>
        <w:t>categorisation-based statement of profit or loss</w:t>
      </w:r>
      <w:r w:rsidRPr="00D83977">
        <w:t>, where:</w:t>
      </w:r>
    </w:p>
    <w:p w14:paraId="0EC4F094" w14:textId="77777777" w:rsidR="00D83977" w:rsidRPr="00D83977" w:rsidRDefault="00D83977" w:rsidP="00D83977">
      <w:pPr>
        <w:numPr>
          <w:ilvl w:val="0"/>
          <w:numId w:val="4"/>
        </w:numPr>
      </w:pPr>
      <w:r w:rsidRPr="00D83977">
        <w:t xml:space="preserve">the </w:t>
      </w:r>
      <w:r w:rsidRPr="00D83977">
        <w:rPr>
          <w:b/>
          <w:bCs/>
        </w:rPr>
        <w:t>income taxes category</w:t>
      </w:r>
      <w:r w:rsidRPr="00D83977">
        <w:t xml:space="preserve"> is narrowly defined, and</w:t>
      </w:r>
    </w:p>
    <w:p w14:paraId="344E1D88" w14:textId="77777777" w:rsidR="00D83977" w:rsidRPr="00D83977" w:rsidRDefault="00D83977" w:rsidP="00D83977">
      <w:pPr>
        <w:numPr>
          <w:ilvl w:val="0"/>
          <w:numId w:val="4"/>
        </w:numPr>
      </w:pPr>
      <w:r w:rsidRPr="00D83977">
        <w:t xml:space="preserve">classification is explicitly tied to </w:t>
      </w:r>
      <w:r w:rsidRPr="00D83977">
        <w:rPr>
          <w:b/>
          <w:bCs/>
        </w:rPr>
        <w:t>IAS 12 recognition principles</w:t>
      </w:r>
      <w:r w:rsidRPr="00D83977">
        <w:t xml:space="preserve"> (paragraph 67).</w:t>
      </w:r>
    </w:p>
    <w:p w14:paraId="33CFB3FD" w14:textId="77777777" w:rsidR="00D83977" w:rsidRPr="00D83977" w:rsidRDefault="00D83977" w:rsidP="00D83977">
      <w:r w:rsidRPr="00D83977">
        <w:t xml:space="preserve">We agree that this represents a </w:t>
      </w:r>
      <w:r w:rsidRPr="00D83977">
        <w:rPr>
          <w:b/>
          <w:bCs/>
        </w:rPr>
        <w:t>deliberate narrowing</w:t>
      </w:r>
      <w:r w:rsidRPr="00D83977">
        <w:t xml:space="preserve"> intended to enhance comparability and understandability.</w:t>
      </w:r>
    </w:p>
    <w:p w14:paraId="4238B29F" w14:textId="77777777" w:rsidR="00D83977" w:rsidRPr="00D83977" w:rsidRDefault="00F62227" w:rsidP="00D83977">
      <w:r>
        <w:pict w14:anchorId="253CD2CB">
          <v:rect id="_x0000_i1027" style="width:0;height:1.5pt" o:hralign="center" o:hrstd="t" o:hr="t" fillcolor="#a0a0a0" stroked="f"/>
        </w:pict>
      </w:r>
    </w:p>
    <w:p w14:paraId="14296311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lastRenderedPageBreak/>
        <w:t>3. Alignment with IAS 12 – Scope-Based Presentation</w:t>
      </w:r>
    </w:p>
    <w:p w14:paraId="12CA4CD5" w14:textId="77777777" w:rsidR="00D83977" w:rsidRPr="00D83977" w:rsidRDefault="00D83977" w:rsidP="00D83977">
      <w:r w:rsidRPr="00D83977">
        <w:t xml:space="preserve">The Committee’s reasoning correctly anchors presentation to </w:t>
      </w:r>
      <w:r w:rsidRPr="00D83977">
        <w:rPr>
          <w:b/>
          <w:bCs/>
        </w:rPr>
        <w:t>scope</w:t>
      </w:r>
      <w:r w:rsidRPr="00D83977">
        <w:t>, not nomenclature.</w:t>
      </w:r>
    </w:p>
    <w:p w14:paraId="75F2500E" w14:textId="77777777" w:rsidR="00D83977" w:rsidRPr="00D83977" w:rsidRDefault="00D83977" w:rsidP="00D83977">
      <w:r w:rsidRPr="00D83977">
        <w:t>Taxes or charges that:</w:t>
      </w:r>
    </w:p>
    <w:p w14:paraId="6BF630A1" w14:textId="77777777" w:rsidR="00D83977" w:rsidRPr="00D83977" w:rsidRDefault="00D83977" w:rsidP="00D83977">
      <w:pPr>
        <w:numPr>
          <w:ilvl w:val="0"/>
          <w:numId w:val="5"/>
        </w:numPr>
      </w:pPr>
      <w:r w:rsidRPr="00D83977">
        <w:t>are calculated on turnover, assets, transactions or capital; and</w:t>
      </w:r>
    </w:p>
    <w:p w14:paraId="5EB480F4" w14:textId="77777777" w:rsidR="00D83977" w:rsidRPr="00D83977" w:rsidRDefault="00D83977" w:rsidP="00D83977">
      <w:pPr>
        <w:numPr>
          <w:ilvl w:val="0"/>
          <w:numId w:val="5"/>
        </w:numPr>
      </w:pPr>
      <w:r w:rsidRPr="00D83977">
        <w:t>do not meet the definition of income taxes under IAS 12</w:t>
      </w:r>
    </w:p>
    <w:p w14:paraId="4DC40335" w14:textId="77777777" w:rsidR="00D83977" w:rsidRPr="00D83977" w:rsidRDefault="00D83977" w:rsidP="00D83977">
      <w:r w:rsidRPr="00D83977">
        <w:t>cannot be portrayed as income taxes merely due to their label or perceived similarity.</w:t>
      </w:r>
    </w:p>
    <w:p w14:paraId="73BBD7AD" w14:textId="77777777" w:rsidR="00D83977" w:rsidRPr="00D83977" w:rsidRDefault="00D83977" w:rsidP="00D83977">
      <w:r w:rsidRPr="00D83977">
        <w:t xml:space="preserve">This interpretation preserves the </w:t>
      </w:r>
      <w:r w:rsidRPr="00D83977">
        <w:rPr>
          <w:b/>
          <w:bCs/>
        </w:rPr>
        <w:t>conceptual integrity of IAS 12</w:t>
      </w:r>
      <w:r w:rsidRPr="00D83977">
        <w:t xml:space="preserve"> and prevents dilution of the income tax line item.</w:t>
      </w:r>
    </w:p>
    <w:p w14:paraId="084DF65F" w14:textId="77777777" w:rsidR="00D83977" w:rsidRPr="00D83977" w:rsidRDefault="00F62227" w:rsidP="00D83977">
      <w:r>
        <w:pict w14:anchorId="296F6E18">
          <v:rect id="_x0000_i1028" style="width:0;height:1.5pt" o:hralign="center" o:hrstd="t" o:hr="t" fillcolor="#a0a0a0" stroked="f"/>
        </w:pict>
      </w:r>
    </w:p>
    <w:p w14:paraId="31F14AFE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4. Comparison with IFRS 18 Paragraph 67 and Paragraph 75(a)(iv)</w:t>
      </w:r>
    </w:p>
    <w:p w14:paraId="10D6B9C2" w14:textId="77777777" w:rsidR="00D83977" w:rsidRPr="00D83977" w:rsidRDefault="00D83977" w:rsidP="00D83977">
      <w:pPr>
        <w:numPr>
          <w:ilvl w:val="0"/>
          <w:numId w:val="6"/>
        </w:numPr>
      </w:pPr>
      <w:r w:rsidRPr="00D83977">
        <w:rPr>
          <w:b/>
          <w:bCs/>
        </w:rPr>
        <w:t>Paragraph 67 of IFRS 18</w:t>
      </w:r>
      <w:r w:rsidRPr="00D83977">
        <w:t xml:space="preserve"> explicitly restricts the income taxes category to amounts recognised applying IAS 12 (and related FX differences).</w:t>
      </w:r>
    </w:p>
    <w:p w14:paraId="18A105E5" w14:textId="77777777" w:rsidR="00D83977" w:rsidRPr="00D83977" w:rsidRDefault="00D83977" w:rsidP="00D83977">
      <w:pPr>
        <w:numPr>
          <w:ilvl w:val="0"/>
          <w:numId w:val="6"/>
        </w:numPr>
      </w:pPr>
      <w:r w:rsidRPr="00D83977">
        <w:rPr>
          <w:b/>
          <w:bCs/>
        </w:rPr>
        <w:t>Paragraph 75(a)(iv)</w:t>
      </w:r>
      <w:r w:rsidRPr="00D83977">
        <w:t xml:space="preserve"> mandates a single line item for “income tax expense or income”.</w:t>
      </w:r>
    </w:p>
    <w:p w14:paraId="746BE16E" w14:textId="77777777" w:rsidR="00D83977" w:rsidRPr="00D83977" w:rsidRDefault="00D83977" w:rsidP="00D83977">
      <w:r w:rsidRPr="00D83977">
        <w:t xml:space="preserve">We agree with the Committee that reading these paragraphs together leaves </w:t>
      </w:r>
      <w:r w:rsidRPr="00D83977">
        <w:rPr>
          <w:b/>
          <w:bCs/>
        </w:rPr>
        <w:t>no basis for inclusion of non-IAS 12 taxes</w:t>
      </w:r>
      <w:r w:rsidRPr="00D83977">
        <w:t>, even as separate line items within the income taxes category.</w:t>
      </w:r>
    </w:p>
    <w:p w14:paraId="69B41E7D" w14:textId="77777777" w:rsidR="00D83977" w:rsidRPr="00D83977" w:rsidRDefault="00D83977" w:rsidP="00D83977">
      <w:r w:rsidRPr="00D83977">
        <w:t>This reading is internally consistent and avoids interpretative stretching of IFRS 18.</w:t>
      </w:r>
    </w:p>
    <w:p w14:paraId="3E02800C" w14:textId="77777777" w:rsidR="00D83977" w:rsidRPr="00D83977" w:rsidRDefault="00F62227" w:rsidP="00D83977">
      <w:r>
        <w:pict w14:anchorId="32DF58F9">
          <v:rect id="_x0000_i1029" style="width:0;height:1.5pt" o:hralign="center" o:hrstd="t" o:hr="t" fillcolor="#a0a0a0" stroked="f"/>
        </w:pict>
      </w:r>
    </w:p>
    <w:p w14:paraId="00F70FA6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5. Interaction with Paragraph 24 of IFRS 18 (Additional Line Items)</w:t>
      </w:r>
    </w:p>
    <w:p w14:paraId="21200B21" w14:textId="77777777" w:rsidR="00D83977" w:rsidRPr="00D83977" w:rsidRDefault="00D83977" w:rsidP="00D83977">
      <w:r w:rsidRPr="00D83977">
        <w:t>We agree with the Committee’s observation that:</w:t>
      </w:r>
    </w:p>
    <w:p w14:paraId="6557B0D4" w14:textId="77777777" w:rsidR="00D83977" w:rsidRPr="00D83977" w:rsidRDefault="00D83977" w:rsidP="00D83977">
      <w:pPr>
        <w:numPr>
          <w:ilvl w:val="0"/>
          <w:numId w:val="7"/>
        </w:numPr>
      </w:pPr>
      <w:r w:rsidRPr="00D83977">
        <w:t xml:space="preserve">paragraph 24 allows additional line items </w:t>
      </w:r>
      <w:r w:rsidRPr="00D83977">
        <w:rPr>
          <w:b/>
          <w:bCs/>
        </w:rPr>
        <w:t>outside</w:t>
      </w:r>
      <w:r w:rsidRPr="00D83977">
        <w:t xml:space="preserve"> the income taxes category,</w:t>
      </w:r>
    </w:p>
    <w:p w14:paraId="70279110" w14:textId="77777777" w:rsidR="00D83977" w:rsidRPr="00D83977" w:rsidRDefault="00D83977" w:rsidP="00D83977">
      <w:pPr>
        <w:numPr>
          <w:ilvl w:val="0"/>
          <w:numId w:val="7"/>
        </w:numPr>
      </w:pPr>
      <w:r w:rsidRPr="00D83977">
        <w:t>where necessary to provide a useful structured summary.</w:t>
      </w:r>
    </w:p>
    <w:p w14:paraId="38F50574" w14:textId="77777777" w:rsidR="00D83977" w:rsidRPr="00D83977" w:rsidRDefault="00D83977" w:rsidP="00D83977">
      <w:r w:rsidRPr="00D83977">
        <w:t>This appropriately balances:</w:t>
      </w:r>
    </w:p>
    <w:p w14:paraId="2ADF09AF" w14:textId="77777777" w:rsidR="00D83977" w:rsidRPr="00D83977" w:rsidRDefault="00D83977" w:rsidP="00D83977">
      <w:pPr>
        <w:numPr>
          <w:ilvl w:val="0"/>
          <w:numId w:val="8"/>
        </w:numPr>
      </w:pPr>
      <w:r w:rsidRPr="00D83977">
        <w:t>strict classification rules, and</w:t>
      </w:r>
    </w:p>
    <w:p w14:paraId="4983508C" w14:textId="77777777" w:rsidR="00D83977" w:rsidRPr="00D83977" w:rsidRDefault="00D83977" w:rsidP="00D83977">
      <w:pPr>
        <w:numPr>
          <w:ilvl w:val="0"/>
          <w:numId w:val="8"/>
        </w:numPr>
      </w:pPr>
      <w:r w:rsidRPr="00D83977">
        <w:t>the need for transparency regarding significant taxes or levies.</w:t>
      </w:r>
    </w:p>
    <w:p w14:paraId="4DB5D9C2" w14:textId="77777777" w:rsidR="00D83977" w:rsidRPr="00D83977" w:rsidRDefault="00D83977" w:rsidP="00D83977">
      <w:r w:rsidRPr="00D83977">
        <w:t xml:space="preserve">Importantly, paragraph 24 does </w:t>
      </w:r>
      <w:r w:rsidRPr="00D83977">
        <w:rPr>
          <w:b/>
          <w:bCs/>
        </w:rPr>
        <w:t>not override</w:t>
      </w:r>
      <w:r w:rsidRPr="00D83977">
        <w:t xml:space="preserve"> the category definitions, but supplements them.</w:t>
      </w:r>
    </w:p>
    <w:p w14:paraId="546FCB94" w14:textId="77777777" w:rsidR="00D83977" w:rsidRPr="00D83977" w:rsidRDefault="00F62227" w:rsidP="00D83977">
      <w:r>
        <w:pict w14:anchorId="3D652285">
          <v:rect id="_x0000_i1030" style="width:0;height:1.5pt" o:hralign="center" o:hrstd="t" o:hr="t" fillcolor="#a0a0a0" stroked="f"/>
        </w:pict>
      </w:r>
    </w:p>
    <w:p w14:paraId="5FE1E061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6. Faithful Representation and Avoidance of Misleading Aggregation</w:t>
      </w:r>
    </w:p>
    <w:p w14:paraId="7769CD7D" w14:textId="77777777" w:rsidR="00D83977" w:rsidRPr="00D83977" w:rsidRDefault="00D83977" w:rsidP="00D83977">
      <w:r w:rsidRPr="00D83977">
        <w:t>Including non-IAS 12 taxes within the income tax category could:</w:t>
      </w:r>
    </w:p>
    <w:p w14:paraId="30FD35F6" w14:textId="77777777" w:rsidR="00D83977" w:rsidRPr="00D83977" w:rsidRDefault="00D83977" w:rsidP="00D83977">
      <w:pPr>
        <w:numPr>
          <w:ilvl w:val="0"/>
          <w:numId w:val="9"/>
        </w:numPr>
      </w:pPr>
      <w:r w:rsidRPr="00D83977">
        <w:t>distort effective tax rate analysis,</w:t>
      </w:r>
    </w:p>
    <w:p w14:paraId="7D0BFA73" w14:textId="77777777" w:rsidR="00D83977" w:rsidRPr="00D83977" w:rsidRDefault="00D83977" w:rsidP="00D83977">
      <w:pPr>
        <w:numPr>
          <w:ilvl w:val="0"/>
          <w:numId w:val="9"/>
        </w:numPr>
      </w:pPr>
      <w:r w:rsidRPr="00D83977">
        <w:t>mislead users regarding tax burden linked to profit, and</w:t>
      </w:r>
    </w:p>
    <w:p w14:paraId="4F94170C" w14:textId="77777777" w:rsidR="00D83977" w:rsidRPr="00D83977" w:rsidRDefault="00D83977" w:rsidP="00D83977">
      <w:pPr>
        <w:numPr>
          <w:ilvl w:val="0"/>
          <w:numId w:val="9"/>
        </w:numPr>
      </w:pPr>
      <w:r w:rsidRPr="00D83977">
        <w:t>impair comparability across jurisdictions.</w:t>
      </w:r>
    </w:p>
    <w:p w14:paraId="7F44F834" w14:textId="77777777" w:rsidR="00D83977" w:rsidRPr="00D83977" w:rsidRDefault="00D83977" w:rsidP="00D83977">
      <w:r w:rsidRPr="00D83977">
        <w:t>The Committee’s conclusion enhances:</w:t>
      </w:r>
    </w:p>
    <w:p w14:paraId="13F2E2B9" w14:textId="77777777" w:rsidR="00D83977" w:rsidRPr="00D83977" w:rsidRDefault="00D83977" w:rsidP="00D83977">
      <w:pPr>
        <w:numPr>
          <w:ilvl w:val="0"/>
          <w:numId w:val="10"/>
        </w:numPr>
      </w:pPr>
      <w:r w:rsidRPr="00D83977">
        <w:t>faithful representation, and</w:t>
      </w:r>
    </w:p>
    <w:p w14:paraId="67F0822F" w14:textId="77777777" w:rsidR="00D83977" w:rsidRPr="00D83977" w:rsidRDefault="00D83977" w:rsidP="00D83977">
      <w:pPr>
        <w:numPr>
          <w:ilvl w:val="0"/>
          <w:numId w:val="10"/>
        </w:numPr>
      </w:pPr>
      <w:r w:rsidRPr="00D83977">
        <w:t>analytical clarity for users of financial statements.</w:t>
      </w:r>
    </w:p>
    <w:p w14:paraId="10BF4102" w14:textId="77777777" w:rsidR="00D83977" w:rsidRPr="00D83977" w:rsidRDefault="00F62227" w:rsidP="00D83977">
      <w:r>
        <w:pict w14:anchorId="6BEA2EE4">
          <v:rect id="_x0000_i1031" style="width:0;height:1.5pt" o:hralign="center" o:hrstd="t" o:hr="t" fillcolor="#a0a0a0" stroked="f"/>
        </w:pict>
      </w:r>
    </w:p>
    <w:p w14:paraId="142DADD7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7. Practical Implications for Preparers and Users</w:t>
      </w:r>
    </w:p>
    <w:p w14:paraId="3772C8DA" w14:textId="77777777" w:rsidR="00D83977" w:rsidRPr="00D83977" w:rsidRDefault="00D83977" w:rsidP="00D83977">
      <w:r w:rsidRPr="00D83977">
        <w:lastRenderedPageBreak/>
        <w:t>We note the following practical implications:</w:t>
      </w:r>
    </w:p>
    <w:p w14:paraId="4990326E" w14:textId="77777777" w:rsidR="00D83977" w:rsidRPr="00D83977" w:rsidRDefault="00D83977" w:rsidP="00D83977">
      <w:pPr>
        <w:numPr>
          <w:ilvl w:val="0"/>
          <w:numId w:val="11"/>
        </w:numPr>
      </w:pPr>
      <w:r w:rsidRPr="00D83977">
        <w:rPr>
          <w:b/>
          <w:bCs/>
        </w:rPr>
        <w:t>Reclassification impact:</w:t>
      </w:r>
      <w:r w:rsidRPr="00D83977">
        <w:t xml:space="preserve"> Entities will need to reassess historical presentation practices, especially in jurisdictions with significant non-income-based taxes.</w:t>
      </w:r>
    </w:p>
    <w:p w14:paraId="3BEB7AA1" w14:textId="77777777" w:rsidR="00D83977" w:rsidRPr="00D83977" w:rsidRDefault="00D83977" w:rsidP="00D83977">
      <w:pPr>
        <w:numPr>
          <w:ilvl w:val="0"/>
          <w:numId w:val="11"/>
        </w:numPr>
      </w:pPr>
      <w:r w:rsidRPr="00D83977">
        <w:rPr>
          <w:b/>
          <w:bCs/>
        </w:rPr>
        <w:t>Performance subtotals:</w:t>
      </w:r>
      <w:r w:rsidRPr="00D83977">
        <w:t xml:space="preserve"> Reclassification may affect profit before tax and tax-related ratios, but improves conceptual accuracy.</w:t>
      </w:r>
    </w:p>
    <w:p w14:paraId="53CC5611" w14:textId="77777777" w:rsidR="00D83977" w:rsidRPr="00D83977" w:rsidRDefault="00D83977" w:rsidP="00D83977">
      <w:pPr>
        <w:numPr>
          <w:ilvl w:val="0"/>
          <w:numId w:val="11"/>
        </w:numPr>
      </w:pPr>
      <w:r w:rsidRPr="00D83977">
        <w:rPr>
          <w:b/>
          <w:bCs/>
        </w:rPr>
        <w:t>Disclosure discipline:</w:t>
      </w:r>
      <w:r w:rsidRPr="00D83977">
        <w:t xml:space="preserve"> Clear labelling and explanation of such taxes outside the income taxes category will become more important.</w:t>
      </w:r>
    </w:p>
    <w:p w14:paraId="610EB360" w14:textId="77777777" w:rsidR="00D83977" w:rsidRPr="00D83977" w:rsidRDefault="00D83977" w:rsidP="00D83977">
      <w:r w:rsidRPr="00D83977">
        <w:t>These impacts are a necessary and appropriate consequence of IFRS 18’s structured approach.</w:t>
      </w:r>
    </w:p>
    <w:p w14:paraId="0C04449E" w14:textId="77777777" w:rsidR="00D83977" w:rsidRPr="00D83977" w:rsidRDefault="00F62227" w:rsidP="00D83977">
      <w:r>
        <w:pict w14:anchorId="1215D439">
          <v:rect id="_x0000_i1032" style="width:0;height:1.5pt" o:hralign="center" o:hrstd="t" o:hr="t" fillcolor="#a0a0a0" stroked="f"/>
        </w:pict>
      </w:r>
    </w:p>
    <w:p w14:paraId="1AC9139A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8. Comparison with Other IFRS 18 Tentative Agenda Decisions</w:t>
      </w:r>
    </w:p>
    <w:p w14:paraId="2F01C93F" w14:textId="77777777" w:rsidR="00D83977" w:rsidRPr="00D83977" w:rsidRDefault="00D83977" w:rsidP="00D83977">
      <w:r w:rsidRPr="00D83977">
        <w:t>Consistent with other IFRS 18 TADs issued to date, this agenda decision:</w:t>
      </w:r>
    </w:p>
    <w:p w14:paraId="7292489B" w14:textId="77777777" w:rsidR="00D83977" w:rsidRPr="00D83977" w:rsidRDefault="00D83977" w:rsidP="00D83977">
      <w:pPr>
        <w:numPr>
          <w:ilvl w:val="0"/>
          <w:numId w:val="12"/>
        </w:numPr>
      </w:pPr>
      <w:r w:rsidRPr="00D83977">
        <w:t>reinforces strict adherence to category definitions,</w:t>
      </w:r>
    </w:p>
    <w:p w14:paraId="70F85087" w14:textId="77777777" w:rsidR="00D83977" w:rsidRPr="00D83977" w:rsidRDefault="00D83977" w:rsidP="00D83977">
      <w:pPr>
        <w:numPr>
          <w:ilvl w:val="0"/>
          <w:numId w:val="12"/>
        </w:numPr>
      </w:pPr>
      <w:r w:rsidRPr="00D83977">
        <w:t>discourages presentation driven by convention rather than principle, and</w:t>
      </w:r>
    </w:p>
    <w:p w14:paraId="01362C61" w14:textId="77777777" w:rsidR="00D83977" w:rsidRPr="00D83977" w:rsidRDefault="00D83977" w:rsidP="00D83977">
      <w:pPr>
        <w:numPr>
          <w:ilvl w:val="0"/>
          <w:numId w:val="12"/>
        </w:numPr>
      </w:pPr>
      <w:r w:rsidRPr="00D83977">
        <w:t>relies on existing IFRS requirements rather than introducing new rules.</w:t>
      </w:r>
    </w:p>
    <w:p w14:paraId="44B49942" w14:textId="051B2E27" w:rsidR="00D83977" w:rsidRPr="00D83977" w:rsidRDefault="00D83977" w:rsidP="00D83977">
      <w:r w:rsidRPr="00D83977">
        <w:t>This consistency strengthens confidence in IFRS 18 implementation.</w:t>
      </w:r>
    </w:p>
    <w:p w14:paraId="5F684DAE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9. Suggestions for Supporting Implementation (Without Standard-Setting)</w:t>
      </w:r>
    </w:p>
    <w:p w14:paraId="3F79067F" w14:textId="77777777" w:rsidR="00D83977" w:rsidRPr="00D83977" w:rsidRDefault="00D83977" w:rsidP="00D83977">
      <w:r w:rsidRPr="00D83977">
        <w:t>While we agree that no standard-setting project is required, we suggest that:</w:t>
      </w:r>
    </w:p>
    <w:p w14:paraId="20FAFA66" w14:textId="77777777" w:rsidR="00D83977" w:rsidRPr="00D83977" w:rsidRDefault="00D83977" w:rsidP="00D83977">
      <w:pPr>
        <w:numPr>
          <w:ilvl w:val="0"/>
          <w:numId w:val="13"/>
        </w:numPr>
      </w:pPr>
      <w:r w:rsidRPr="00D83977">
        <w:t>illustrative examples or educational material clarify common items such as:</w:t>
      </w:r>
    </w:p>
    <w:p w14:paraId="5764E0BD" w14:textId="77777777" w:rsidR="00D83977" w:rsidRPr="00D83977" w:rsidRDefault="00D83977" w:rsidP="00D83977">
      <w:pPr>
        <w:numPr>
          <w:ilvl w:val="1"/>
          <w:numId w:val="13"/>
        </w:numPr>
      </w:pPr>
      <w:r w:rsidRPr="00D83977">
        <w:t>turnover-based levies,</w:t>
      </w:r>
    </w:p>
    <w:p w14:paraId="540E89A7" w14:textId="77777777" w:rsidR="00D83977" w:rsidRPr="00D83977" w:rsidRDefault="00D83977" w:rsidP="00D83977">
      <w:pPr>
        <w:numPr>
          <w:ilvl w:val="1"/>
          <w:numId w:val="13"/>
        </w:numPr>
      </w:pPr>
      <w:r w:rsidRPr="00D83977">
        <w:t>sectoral cesses, and</w:t>
      </w:r>
    </w:p>
    <w:p w14:paraId="77857B18" w14:textId="77777777" w:rsidR="009361E4" w:rsidRDefault="00D83977" w:rsidP="00D83977">
      <w:pPr>
        <w:numPr>
          <w:ilvl w:val="1"/>
          <w:numId w:val="13"/>
        </w:numPr>
      </w:pPr>
      <w:r w:rsidRPr="00D83977">
        <w:t>withholding taxes borne by the entity,</w:t>
      </w:r>
      <w:r w:rsidRPr="00D83977">
        <w:br/>
        <w:t>and demonstrate their appropriate classification under IFRS 18.</w:t>
      </w:r>
    </w:p>
    <w:p w14:paraId="28661266" w14:textId="7E9A10DA" w:rsidR="00D83977" w:rsidRPr="00D83977" w:rsidRDefault="00D83977" w:rsidP="00D83977">
      <w:pPr>
        <w:numPr>
          <w:ilvl w:val="1"/>
          <w:numId w:val="13"/>
        </w:numPr>
      </w:pPr>
      <w:r w:rsidRPr="00D83977">
        <w:t>Such guidance would reduce transition friction without amending the Standard.</w:t>
      </w:r>
    </w:p>
    <w:p w14:paraId="6EDC8B2C" w14:textId="77777777" w:rsidR="00D83977" w:rsidRPr="00D83977" w:rsidRDefault="00D83977" w:rsidP="00D83977">
      <w:pPr>
        <w:rPr>
          <w:b/>
          <w:bCs/>
        </w:rPr>
      </w:pPr>
      <w:r w:rsidRPr="00D83977">
        <w:rPr>
          <w:b/>
          <w:bCs/>
        </w:rPr>
        <w:t>10. Conclusion</w:t>
      </w:r>
    </w:p>
    <w:p w14:paraId="1DD41910" w14:textId="77777777" w:rsidR="00D83977" w:rsidRPr="00D83977" w:rsidRDefault="00D83977" w:rsidP="00D83977">
      <w:r w:rsidRPr="00D83977">
        <w:t xml:space="preserve">We support the Tentative Agenda Decision and agree that </w:t>
      </w:r>
      <w:r w:rsidRPr="00D83977">
        <w:rPr>
          <w:b/>
          <w:bCs/>
        </w:rPr>
        <w:t>IFRS Accounting Standards provide an adequate and principled basis</w:t>
      </w:r>
      <w:r w:rsidRPr="00D83977">
        <w:t xml:space="preserve"> to determine the presentation of taxes or other charges not within the scope of IAS 12.</w:t>
      </w:r>
    </w:p>
    <w:p w14:paraId="6CD23AE0" w14:textId="77777777" w:rsidR="00D83977" w:rsidRPr="00D83977" w:rsidRDefault="00D83977" w:rsidP="00D83977">
      <w:r w:rsidRPr="00D83977">
        <w:t>The Committee’s conclusion:</w:t>
      </w:r>
    </w:p>
    <w:p w14:paraId="582988D4" w14:textId="77777777" w:rsidR="00D83977" w:rsidRPr="00D83977" w:rsidRDefault="00D83977" w:rsidP="00D83977">
      <w:pPr>
        <w:numPr>
          <w:ilvl w:val="0"/>
          <w:numId w:val="14"/>
        </w:numPr>
      </w:pPr>
      <w:r w:rsidRPr="00D83977">
        <w:t>strengthens consistency,</w:t>
      </w:r>
    </w:p>
    <w:p w14:paraId="4C7304C2" w14:textId="77777777" w:rsidR="00D83977" w:rsidRPr="00D83977" w:rsidRDefault="00D83977" w:rsidP="00D83977">
      <w:pPr>
        <w:numPr>
          <w:ilvl w:val="0"/>
          <w:numId w:val="14"/>
        </w:numPr>
      </w:pPr>
      <w:r w:rsidRPr="00D83977">
        <w:t>enhances transparency, and</w:t>
      </w:r>
    </w:p>
    <w:p w14:paraId="738A54D9" w14:textId="77777777" w:rsidR="00D83977" w:rsidRPr="00D83977" w:rsidRDefault="00D83977" w:rsidP="00D83977">
      <w:pPr>
        <w:numPr>
          <w:ilvl w:val="0"/>
          <w:numId w:val="14"/>
        </w:numPr>
      </w:pPr>
      <w:r w:rsidRPr="00D83977">
        <w:t>faithfully reflects the intent of IFRS 18’s presentation model.</w:t>
      </w:r>
    </w:p>
    <w:p w14:paraId="1CE608E3" w14:textId="77777777" w:rsidR="00D83977" w:rsidRPr="00D83977" w:rsidRDefault="00D83977" w:rsidP="00D83977">
      <w:r w:rsidRPr="00D83977">
        <w:t>We appreciate the opportunity to submit our comments.</w:t>
      </w:r>
    </w:p>
    <w:p w14:paraId="3FEFB046" w14:textId="77777777" w:rsidR="00D83977" w:rsidRPr="00D83977" w:rsidRDefault="00D83977" w:rsidP="00D83977">
      <w:r w:rsidRPr="00D83977">
        <w:t>Yours faithfully,</w:t>
      </w:r>
    </w:p>
    <w:p w14:paraId="03011377" w14:textId="1F5B81DD" w:rsidR="009361E4" w:rsidRDefault="00D83977" w:rsidP="00D83977">
      <w:r w:rsidRPr="00D83977">
        <w:rPr>
          <w:b/>
          <w:bCs/>
        </w:rPr>
        <w:t>For and on behalf of</w:t>
      </w:r>
      <w:r w:rsidRPr="00D83977">
        <w:br/>
      </w:r>
      <w:r w:rsidR="00F13CC0">
        <w:t xml:space="preserve">CA </w:t>
      </w:r>
      <w:r w:rsidR="00AA2011">
        <w:t>Vinod Sancheti</w:t>
      </w:r>
    </w:p>
    <w:p w14:paraId="17F09BAF" w14:textId="28F8A15D" w:rsidR="002D53AE" w:rsidRDefault="002D53AE" w:rsidP="00D83977">
      <w:r>
        <w:t>Membership No. -</w:t>
      </w:r>
      <w:r w:rsidR="002F5325">
        <w:t>1</w:t>
      </w:r>
      <w:r w:rsidR="00AA2011">
        <w:t>53116</w:t>
      </w:r>
    </w:p>
    <w:p w14:paraId="2AF0C1DA" w14:textId="77777777" w:rsidR="005A56D6" w:rsidRPr="00D83977" w:rsidRDefault="005A56D6" w:rsidP="00D83977"/>
    <w:sectPr w:rsidR="005A56D6" w:rsidRPr="00D83977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C2E23"/>
    <w:multiLevelType w:val="multilevel"/>
    <w:tmpl w:val="52A63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702581"/>
    <w:multiLevelType w:val="multilevel"/>
    <w:tmpl w:val="DACE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183289"/>
    <w:multiLevelType w:val="multilevel"/>
    <w:tmpl w:val="BB52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CF2D2A"/>
    <w:multiLevelType w:val="multilevel"/>
    <w:tmpl w:val="A13E4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B634EA"/>
    <w:multiLevelType w:val="multilevel"/>
    <w:tmpl w:val="5FFA8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C02139"/>
    <w:multiLevelType w:val="multilevel"/>
    <w:tmpl w:val="82A43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E22D8"/>
    <w:multiLevelType w:val="multilevel"/>
    <w:tmpl w:val="E678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3E17AE"/>
    <w:multiLevelType w:val="multilevel"/>
    <w:tmpl w:val="65E2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A47441"/>
    <w:multiLevelType w:val="multilevel"/>
    <w:tmpl w:val="7D40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4D50C7"/>
    <w:multiLevelType w:val="multilevel"/>
    <w:tmpl w:val="4FC6E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0E3C97"/>
    <w:multiLevelType w:val="multilevel"/>
    <w:tmpl w:val="649E9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5948DD"/>
    <w:multiLevelType w:val="multilevel"/>
    <w:tmpl w:val="00BEC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702355"/>
    <w:multiLevelType w:val="multilevel"/>
    <w:tmpl w:val="557E5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941E01"/>
    <w:multiLevelType w:val="multilevel"/>
    <w:tmpl w:val="6762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AA1B30"/>
    <w:multiLevelType w:val="multilevel"/>
    <w:tmpl w:val="50F65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2972359">
    <w:abstractNumId w:val="3"/>
  </w:num>
  <w:num w:numId="2" w16cid:durableId="884563423">
    <w:abstractNumId w:val="14"/>
  </w:num>
  <w:num w:numId="3" w16cid:durableId="1228225427">
    <w:abstractNumId w:val="0"/>
  </w:num>
  <w:num w:numId="4" w16cid:durableId="1503549646">
    <w:abstractNumId w:val="2"/>
  </w:num>
  <w:num w:numId="5" w16cid:durableId="1257400425">
    <w:abstractNumId w:val="1"/>
  </w:num>
  <w:num w:numId="6" w16cid:durableId="98528441">
    <w:abstractNumId w:val="8"/>
  </w:num>
  <w:num w:numId="7" w16cid:durableId="819077890">
    <w:abstractNumId w:val="7"/>
  </w:num>
  <w:num w:numId="8" w16cid:durableId="1360858364">
    <w:abstractNumId w:val="5"/>
  </w:num>
  <w:num w:numId="9" w16cid:durableId="1662781127">
    <w:abstractNumId w:val="9"/>
  </w:num>
  <w:num w:numId="10" w16cid:durableId="1253320036">
    <w:abstractNumId w:val="6"/>
  </w:num>
  <w:num w:numId="11" w16cid:durableId="304549304">
    <w:abstractNumId w:val="4"/>
  </w:num>
  <w:num w:numId="12" w16cid:durableId="1891459070">
    <w:abstractNumId w:val="13"/>
  </w:num>
  <w:num w:numId="13" w16cid:durableId="2024700051">
    <w:abstractNumId w:val="10"/>
  </w:num>
  <w:num w:numId="14" w16cid:durableId="2036731800">
    <w:abstractNumId w:val="11"/>
  </w:num>
  <w:num w:numId="15" w16cid:durableId="2537834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07C"/>
    <w:rsid w:val="000A2560"/>
    <w:rsid w:val="001D6927"/>
    <w:rsid w:val="002D53AE"/>
    <w:rsid w:val="002F5325"/>
    <w:rsid w:val="00322F72"/>
    <w:rsid w:val="00332E5C"/>
    <w:rsid w:val="0038319A"/>
    <w:rsid w:val="00430B43"/>
    <w:rsid w:val="0055407C"/>
    <w:rsid w:val="005A56D6"/>
    <w:rsid w:val="009361E4"/>
    <w:rsid w:val="009E4406"/>
    <w:rsid w:val="00A3429C"/>
    <w:rsid w:val="00AA2011"/>
    <w:rsid w:val="00B756FE"/>
    <w:rsid w:val="00BC780A"/>
    <w:rsid w:val="00C119B1"/>
    <w:rsid w:val="00D83977"/>
    <w:rsid w:val="00F13CC0"/>
    <w:rsid w:val="00FD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58E4"/>
  <w15:chartTrackingRefBased/>
  <w15:docId w15:val="{41C34B21-280B-4ED9-B9A3-05965C161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40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0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0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0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0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0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0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0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0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07C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407C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407C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40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40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40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40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40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40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5407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5407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540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40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0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0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0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0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845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8</cp:revision>
  <dcterms:created xsi:type="dcterms:W3CDTF">2025-12-29T07:28:00Z</dcterms:created>
  <dcterms:modified xsi:type="dcterms:W3CDTF">2025-12-30T12:49:00Z</dcterms:modified>
</cp:coreProperties>
</file>